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3F820" w14:textId="77777777" w:rsidR="00EB1FD0" w:rsidRPr="00EB1FD0" w:rsidRDefault="00EB1FD0" w:rsidP="00EB1FD0">
      <w:pPr>
        <w:jc w:val="center"/>
        <w:rPr>
          <w:rFonts w:cs="Times New Roman"/>
          <w:b/>
          <w:sz w:val="28"/>
          <w:szCs w:val="28"/>
        </w:rPr>
      </w:pPr>
      <w:r w:rsidRPr="00EB1FD0">
        <w:rPr>
          <w:rFonts w:cs="Times New Roman"/>
          <w:b/>
          <w:sz w:val="28"/>
          <w:szCs w:val="28"/>
        </w:rPr>
        <w:t xml:space="preserve">Перечень документов, необходимый для проведения </w:t>
      </w:r>
    </w:p>
    <w:p w14:paraId="4802C1CF" w14:textId="77777777" w:rsidR="00EB1FD0" w:rsidRPr="00EB1FD0" w:rsidRDefault="00EB1FD0" w:rsidP="00EB1FD0">
      <w:pPr>
        <w:jc w:val="center"/>
        <w:rPr>
          <w:rFonts w:cs="Times New Roman"/>
          <w:b/>
          <w:sz w:val="28"/>
          <w:szCs w:val="28"/>
        </w:rPr>
      </w:pPr>
      <w:r w:rsidRPr="00EB1FD0">
        <w:rPr>
          <w:rFonts w:cs="Times New Roman"/>
          <w:b/>
          <w:sz w:val="28"/>
          <w:szCs w:val="28"/>
        </w:rPr>
        <w:t xml:space="preserve">санитарно-эпидемиологической экспертизы </w:t>
      </w:r>
    </w:p>
    <w:p w14:paraId="621DEB53" w14:textId="2CD20867" w:rsidR="00A05F30" w:rsidRPr="00EB1FD0" w:rsidRDefault="00EB1FD0" w:rsidP="00EB1FD0">
      <w:pPr>
        <w:pStyle w:val="1"/>
      </w:pPr>
      <w:r w:rsidRPr="00EB1FD0">
        <w:rPr>
          <w:rFonts w:cs="Times New Roman"/>
          <w:szCs w:val="28"/>
        </w:rPr>
        <w:t>по обоснованию сроков годности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66BCE27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6DC8">
        <w:rPr>
          <w:rFonts w:ascii="Times New Roman" w:hAnsi="Times New Roman" w:cs="Times New Roman"/>
          <w:sz w:val="28"/>
          <w:szCs w:val="28"/>
        </w:rPr>
        <w:t>Ассортиментный перечень продукции</w:t>
      </w:r>
      <w:r>
        <w:rPr>
          <w:rFonts w:ascii="Times New Roman" w:hAnsi="Times New Roman" w:cs="Times New Roman"/>
          <w:sz w:val="28"/>
          <w:szCs w:val="28"/>
        </w:rPr>
        <w:t xml:space="preserve"> (по которой планируется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сроков годности)</w:t>
      </w:r>
      <w:r w:rsidRPr="00BB6DC8">
        <w:rPr>
          <w:rFonts w:ascii="Times New Roman" w:hAnsi="Times New Roman" w:cs="Times New Roman"/>
          <w:sz w:val="28"/>
          <w:szCs w:val="28"/>
        </w:rPr>
        <w:t>, утвержденный руководителем предприятия.</w:t>
      </w:r>
    </w:p>
    <w:p w14:paraId="20D09A4B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</w:t>
      </w:r>
      <w:r w:rsidRPr="00BB6DC8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 проверки органом государственного контроля (надзора) юридического лица, акта по выполнению предписаний, оформленные Управлением Р</w:t>
      </w:r>
      <w:r w:rsidRPr="00BB6DC8">
        <w:rPr>
          <w:rFonts w:ascii="Times New Roman" w:hAnsi="Times New Roman" w:cs="Times New Roman"/>
          <w:sz w:val="28"/>
          <w:szCs w:val="28"/>
        </w:rPr>
        <w:t xml:space="preserve">оспотребнадзора по Кировской области </w:t>
      </w:r>
      <w:r>
        <w:rPr>
          <w:rFonts w:ascii="Times New Roman" w:hAnsi="Times New Roman" w:cs="Times New Roman"/>
          <w:sz w:val="28"/>
          <w:szCs w:val="28"/>
        </w:rPr>
        <w:t>либо его территориальными отделами.</w:t>
      </w:r>
    </w:p>
    <w:p w14:paraId="7DBBE6EA" w14:textId="77777777" w:rsidR="00EB1FD0" w:rsidRPr="00337163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37163">
        <w:rPr>
          <w:rFonts w:ascii="Times New Roman" w:hAnsi="Times New Roman" w:cs="Times New Roman"/>
          <w:sz w:val="28"/>
          <w:szCs w:val="28"/>
        </w:rPr>
        <w:t xml:space="preserve">При отсутствии актов проверки 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337163">
        <w:rPr>
          <w:rFonts w:ascii="Times New Roman" w:hAnsi="Times New Roman" w:cs="Times New Roman"/>
          <w:sz w:val="28"/>
          <w:szCs w:val="28"/>
        </w:rPr>
        <w:t>кспертное заключение  о соответствии условий производства санитарным правилам и норма</w:t>
      </w:r>
      <w:r>
        <w:rPr>
          <w:rFonts w:ascii="Times New Roman" w:hAnsi="Times New Roman" w:cs="Times New Roman"/>
          <w:sz w:val="28"/>
          <w:szCs w:val="28"/>
        </w:rPr>
        <w:t xml:space="preserve">тивам, </w:t>
      </w:r>
      <w:r w:rsidRPr="00337163">
        <w:rPr>
          <w:rFonts w:ascii="Times New Roman" w:hAnsi="Times New Roman" w:cs="Times New Roman"/>
          <w:sz w:val="28"/>
          <w:szCs w:val="28"/>
        </w:rPr>
        <w:t>выданное ФБУЗ «Центр гигиены в Кировской области» или его филиалами.</w:t>
      </w:r>
    </w:p>
    <w:p w14:paraId="2C969DA3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Нормативно-техническая документация, согласно которой выпускается заявленная продукция: </w:t>
      </w:r>
      <w:r w:rsidRPr="00BB6DC8">
        <w:rPr>
          <w:rFonts w:ascii="Times New Roman" w:hAnsi="Times New Roman" w:cs="Times New Roman"/>
          <w:sz w:val="28"/>
          <w:szCs w:val="28"/>
        </w:rPr>
        <w:t>ГОСТы, ОСТы, ТУ.</w:t>
      </w:r>
    </w:p>
    <w:p w14:paraId="292A4F28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6DC8">
        <w:rPr>
          <w:rFonts w:ascii="Times New Roman" w:hAnsi="Times New Roman" w:cs="Times New Roman"/>
          <w:sz w:val="28"/>
          <w:szCs w:val="28"/>
        </w:rPr>
        <w:t>Технологические инструкции (технологический процесс), рецептуры.</w:t>
      </w:r>
    </w:p>
    <w:p w14:paraId="572B7C4F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6DC8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6DC8">
        <w:rPr>
          <w:rFonts w:ascii="Times New Roman" w:hAnsi="Times New Roman" w:cs="Times New Roman"/>
          <w:sz w:val="28"/>
          <w:szCs w:val="28"/>
        </w:rPr>
        <w:t xml:space="preserve"> на сырье</w:t>
      </w:r>
      <w:r>
        <w:rPr>
          <w:rFonts w:ascii="Times New Roman" w:hAnsi="Times New Roman" w:cs="Times New Roman"/>
          <w:sz w:val="28"/>
          <w:szCs w:val="28"/>
        </w:rPr>
        <w:t xml:space="preserve"> (декларации, свидетельства о государственной регистрации)</w:t>
      </w:r>
      <w:r w:rsidRPr="00BB6DC8">
        <w:rPr>
          <w:rFonts w:ascii="Times New Roman" w:hAnsi="Times New Roman" w:cs="Times New Roman"/>
          <w:sz w:val="28"/>
          <w:szCs w:val="28"/>
        </w:rPr>
        <w:t>.</w:t>
      </w:r>
    </w:p>
    <w:p w14:paraId="3A4CC72E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6DC8">
        <w:rPr>
          <w:rFonts w:ascii="Times New Roman" w:hAnsi="Times New Roman" w:cs="Times New Roman"/>
          <w:sz w:val="28"/>
          <w:szCs w:val="28"/>
        </w:rPr>
        <w:t>Этикетка.</w:t>
      </w:r>
    </w:p>
    <w:p w14:paraId="2E81F971" w14:textId="77777777" w:rsidR="00EB1FD0" w:rsidRPr="0071089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Ветеринарно-сопроводительные документы на сырье.</w:t>
      </w:r>
    </w:p>
    <w:p w14:paraId="4B4B33B3" w14:textId="77777777" w:rsidR="00EB1FD0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питьевой воды из разводящей сети (сроком не более 6 мес.), в случае при использовании питьевой воды из собственной скважины – полный анализ воды (органолептические, санитарно-химические, микробиологические,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исследования) за предыдущий год.</w:t>
      </w:r>
    </w:p>
    <w:p w14:paraId="1F0B3717" w14:textId="77777777" w:rsidR="00EB1FD0" w:rsidRPr="00BB6DC8" w:rsidRDefault="00EB1FD0" w:rsidP="00EB1FD0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B6DC8">
        <w:rPr>
          <w:rFonts w:ascii="Times New Roman" w:hAnsi="Times New Roman" w:cs="Times New Roman"/>
          <w:sz w:val="28"/>
          <w:szCs w:val="28"/>
        </w:rPr>
        <w:t>Гарантийное письмо руководителя о применении или непримен</w:t>
      </w:r>
      <w:r>
        <w:rPr>
          <w:rFonts w:ascii="Times New Roman" w:hAnsi="Times New Roman" w:cs="Times New Roman"/>
          <w:sz w:val="28"/>
          <w:szCs w:val="28"/>
        </w:rPr>
        <w:t>ении сырья с использованием ГМО.</w:t>
      </w:r>
    </w:p>
    <w:p w14:paraId="0C4D37C3" w14:textId="77777777" w:rsidR="00EB1FD0" w:rsidRPr="00D736FD" w:rsidRDefault="00EB1FD0" w:rsidP="00EB1FD0">
      <w:pPr>
        <w:pStyle w:val="a7"/>
        <w:numPr>
          <w:ilvl w:val="0"/>
          <w:numId w:val="7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36FD">
        <w:rPr>
          <w:rFonts w:ascii="Times New Roman" w:hAnsi="Times New Roman" w:cs="Times New Roman"/>
          <w:sz w:val="28"/>
          <w:szCs w:val="28"/>
        </w:rPr>
        <w:t>Правоустанавливающие документы (Устав (</w:t>
      </w:r>
      <w:r w:rsidRPr="00D7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 страницы и изменения при наличии)</w:t>
      </w:r>
      <w:r w:rsidRPr="00D73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FD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лиц, ИП, или выписка из ЕГРЮЛ, ЕГРИП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260E">
        <w:rPr>
          <w:rFonts w:ascii="Times New Roman" w:hAnsi="Times New Roman" w:cs="Times New Roman"/>
          <w:bCs/>
          <w:sz w:val="28"/>
          <w:szCs w:val="28"/>
        </w:rPr>
        <w:t>Свидетельств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9260E">
        <w:rPr>
          <w:rFonts w:ascii="Times New Roman" w:hAnsi="Times New Roman" w:cs="Times New Roman"/>
          <w:bCs/>
          <w:sz w:val="28"/>
          <w:szCs w:val="28"/>
        </w:rPr>
        <w:t xml:space="preserve"> о внесении в Единый государственный реестр юридических лиц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4E1BF91" w14:textId="2D7D9C68" w:rsidR="00EB1FD0" w:rsidRDefault="00EB1FD0" w:rsidP="00785AB2">
      <w:pPr>
        <w:pStyle w:val="a7"/>
        <w:numPr>
          <w:ilvl w:val="0"/>
          <w:numId w:val="7"/>
        </w:numPr>
        <w:spacing w:line="240" w:lineRule="auto"/>
        <w:ind w:left="-426"/>
        <w:jc w:val="both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Декларация о соответствии тары и упаковки, при наличии  - копии протоколов лабораторных испытаний.</w:t>
      </w:r>
      <w:r w:rsidR="00785AB2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</w:t>
      </w: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532145D6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 xml:space="preserve">отделением </w:t>
            </w:r>
            <w:r w:rsidR="002747F1">
              <w:rPr>
                <w:lang w:eastAsia="ru-RU"/>
              </w:rPr>
              <w:t>гигиены питания и гигиены детей и подростков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75D773F5" w:rsidR="006474E8" w:rsidRPr="00371DDB" w:rsidRDefault="002747F1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Корепанова</w:t>
            </w:r>
            <w:proofErr w:type="spellEnd"/>
            <w:r>
              <w:rPr>
                <w:lang w:eastAsia="ru-RU"/>
              </w:rPr>
              <w:t xml:space="preserve"> А.Г.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proofErr w:type="gramStart"/>
            <w:r w:rsidRPr="000557DA">
              <w:rPr>
                <w:lang w:eastAsia="ru-RU"/>
              </w:rPr>
              <w:t>Вшивцев</w:t>
            </w:r>
            <w:proofErr w:type="gramEnd"/>
            <w:r w:rsidRPr="000557DA">
              <w:rPr>
                <w:lang w:eastAsia="ru-RU"/>
              </w:rPr>
              <w:t xml:space="preserve"> В.А.</w:t>
            </w:r>
          </w:p>
        </w:tc>
      </w:tr>
    </w:tbl>
    <w:p w14:paraId="299A1BEC" w14:textId="77777777" w:rsidR="00A05F30" w:rsidRDefault="00A05F30" w:rsidP="00785AB2">
      <w:pPr>
        <w:shd w:val="clear" w:color="auto" w:fill="FFFFFF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 w:rsidSect="00785AB2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A0C34" w14:textId="77777777" w:rsidR="00F03CDB" w:rsidRDefault="00F03CDB" w:rsidP="00A05F30">
      <w:r>
        <w:separator/>
      </w:r>
    </w:p>
  </w:endnote>
  <w:endnote w:type="continuationSeparator" w:id="0">
    <w:p w14:paraId="64B1B290" w14:textId="77777777" w:rsidR="00F03CDB" w:rsidRDefault="00F03CDB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27F19" w14:textId="77777777" w:rsidR="00F03CDB" w:rsidRDefault="00F03CDB" w:rsidP="00A05F30">
      <w:r>
        <w:separator/>
      </w:r>
    </w:p>
  </w:footnote>
  <w:footnote w:type="continuationSeparator" w:id="0">
    <w:p w14:paraId="78220584" w14:textId="77777777" w:rsidR="00F03CDB" w:rsidRDefault="00F03CDB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7E4451" w:rsidRPr="008B40FA" w14:paraId="3E822790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3165CB9A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940A85E" w14:textId="569BCDC0" w:rsidR="007E4451" w:rsidRPr="008B40FA" w:rsidRDefault="007E4451" w:rsidP="002E17A5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2E17A5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3087D453" w14:textId="77777777" w:rsidR="007E4451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785AB2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785AB2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65E93424" w14:textId="21EABA9F" w:rsidR="007E4451" w:rsidRPr="008B40FA" w:rsidRDefault="007E4451" w:rsidP="002E17A5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2E17A5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7E4451" w:rsidRPr="008B40FA" w14:paraId="7A73866E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22349B07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72C1B9B" w14:textId="77777777" w:rsidR="007E4451" w:rsidRDefault="007E4451" w:rsidP="007E4451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522BEEC3" w14:textId="77777777" w:rsidR="007E4451" w:rsidRPr="008B40FA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7E4451" w:rsidRPr="008B40FA" w14:paraId="0A8BA9B0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3CF910C3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3A04EAC6" w14:textId="77777777" w:rsidR="007E4451" w:rsidRDefault="007E4451" w:rsidP="007E4451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69AF70EA" w14:textId="77777777" w:rsidR="007E4451" w:rsidRPr="008B40FA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1619D"/>
    <w:multiLevelType w:val="hybridMultilevel"/>
    <w:tmpl w:val="4B58C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C7038"/>
    <w:multiLevelType w:val="multilevel"/>
    <w:tmpl w:val="E77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2747F1"/>
    <w:rsid w:val="002E17A5"/>
    <w:rsid w:val="003C232B"/>
    <w:rsid w:val="003E3613"/>
    <w:rsid w:val="005A3A0D"/>
    <w:rsid w:val="006474E8"/>
    <w:rsid w:val="00710798"/>
    <w:rsid w:val="00785AB2"/>
    <w:rsid w:val="007E4451"/>
    <w:rsid w:val="007E5FAA"/>
    <w:rsid w:val="00843C68"/>
    <w:rsid w:val="008C4E7F"/>
    <w:rsid w:val="009018B0"/>
    <w:rsid w:val="00A05F30"/>
    <w:rsid w:val="00B26DEB"/>
    <w:rsid w:val="00DC37E5"/>
    <w:rsid w:val="00EB1FD0"/>
    <w:rsid w:val="00F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EB1FD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EB1FD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3</cp:revision>
  <dcterms:created xsi:type="dcterms:W3CDTF">2024-06-20T08:08:00Z</dcterms:created>
  <dcterms:modified xsi:type="dcterms:W3CDTF">2024-06-20T08:24:00Z</dcterms:modified>
</cp:coreProperties>
</file>